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92BA" w14:textId="77777777" w:rsidR="009775A3" w:rsidRPr="00BD63E8" w:rsidRDefault="009775A3" w:rsidP="009775A3">
      <w:pPr>
        <w:pStyle w:val="Otsikko"/>
        <w:rPr>
          <w:lang w:val="sv-SE"/>
        </w:rPr>
      </w:pPr>
      <w:bookmarkStart w:id="0" w:name="_Toc471830581"/>
      <w:bookmarkStart w:id="1" w:name="_Toc350504078"/>
      <w:r w:rsidRPr="00BD63E8">
        <w:rPr>
          <w:rFonts w:eastAsia="Arial"/>
          <w:szCs w:val="24"/>
          <w:bdr w:val="nil"/>
          <w:lang w:val="sv-SE"/>
        </w:rPr>
        <w:t>BILAGA 6: Mall för bassängspecifik plan för störningssituationer (= Verksamhetskort)</w:t>
      </w:r>
      <w:bookmarkEnd w:id="0"/>
      <w:bookmarkEnd w:id="1"/>
    </w:p>
    <w:p w14:paraId="63F2BF49" w14:textId="77777777" w:rsidR="009775A3" w:rsidRPr="00BD63E8" w:rsidRDefault="009775A3" w:rsidP="009775A3">
      <w:pPr>
        <w:spacing w:after="0" w:line="240" w:lineRule="auto"/>
        <w:rPr>
          <w:rFonts w:eastAsia="Times New Roman" w:cs="Arial"/>
          <w:b/>
          <w:lang w:val="sv-SE" w:eastAsia="fi-FI"/>
        </w:rPr>
      </w:pPr>
    </w:p>
    <w:p w14:paraId="72A14BED" w14:textId="77777777" w:rsidR="009775A3" w:rsidRPr="00BD63E8" w:rsidRDefault="009775A3" w:rsidP="009775A3">
      <w:pPr>
        <w:spacing w:after="0" w:line="240" w:lineRule="auto"/>
        <w:rPr>
          <w:rFonts w:eastAsia="Times New Roman" w:cs="Arial"/>
          <w:b/>
          <w:color w:val="808080" w:themeColor="background1" w:themeShade="80"/>
          <w:lang w:val="sv-SE" w:eastAsia="fi-FI"/>
        </w:rPr>
      </w:pPr>
      <w:r w:rsidRPr="00BD63E8">
        <w:rPr>
          <w:rFonts w:eastAsia="Arial" w:cs="Arial"/>
          <w:b/>
          <w:bCs/>
          <w:bdr w:val="nil"/>
          <w:lang w:val="sv-SE" w:eastAsia="fi-FI"/>
        </w:rPr>
        <w:t xml:space="preserve">Plats: </w:t>
      </w:r>
      <w:r>
        <w:rPr>
          <w:rFonts w:eastAsia="Arial" w:cs="Arial"/>
          <w:b/>
          <w:bCs/>
          <w:color w:val="808080"/>
          <w:bdr w:val="nil"/>
          <w:lang w:val="sv-SE" w:eastAsia="fi-FI"/>
        </w:rPr>
        <w:t>Galtbya simhall</w:t>
      </w:r>
    </w:p>
    <w:p w14:paraId="30EABF54" w14:textId="77777777" w:rsidR="009775A3" w:rsidRPr="00BD63E8" w:rsidRDefault="009775A3" w:rsidP="009775A3">
      <w:pPr>
        <w:spacing w:after="0" w:line="240" w:lineRule="auto"/>
        <w:rPr>
          <w:rFonts w:eastAsia="Times New Roman" w:cs="Arial"/>
          <w:b/>
          <w:lang w:val="sv-SE" w:eastAsia="fi-FI"/>
        </w:rPr>
      </w:pPr>
    </w:p>
    <w:p w14:paraId="38BAD9A6" w14:textId="77777777" w:rsidR="009775A3" w:rsidRPr="00BD63E8" w:rsidRDefault="009775A3" w:rsidP="009775A3">
      <w:pPr>
        <w:spacing w:after="0" w:line="240" w:lineRule="auto"/>
        <w:rPr>
          <w:rFonts w:eastAsia="Times New Roman" w:cs="Arial"/>
          <w:b/>
          <w:color w:val="808080" w:themeColor="background1" w:themeShade="80"/>
          <w:lang w:val="sv-SE" w:eastAsia="fi-FI"/>
        </w:rPr>
      </w:pPr>
      <w:r w:rsidRPr="00BD63E8">
        <w:rPr>
          <w:rFonts w:eastAsia="Arial" w:cs="Arial"/>
          <w:b/>
          <w:bCs/>
          <w:bdr w:val="nil"/>
          <w:lang w:val="sv-SE" w:eastAsia="fi-FI"/>
        </w:rPr>
        <w:t xml:space="preserve">Bassäng: </w:t>
      </w:r>
      <w:r w:rsidRPr="00BD63E8">
        <w:rPr>
          <w:rFonts w:eastAsia="Arial" w:cs="Arial"/>
          <w:b/>
          <w:bCs/>
          <w:color w:val="808080"/>
          <w:bdr w:val="nil"/>
          <w:lang w:val="sv-SE" w:eastAsia="fi-FI"/>
        </w:rPr>
        <w:t>PLASKDAM</w:t>
      </w:r>
      <w:r w:rsidR="00067FA3">
        <w:rPr>
          <w:rFonts w:eastAsia="Arial" w:cs="Arial"/>
          <w:b/>
          <w:bCs/>
          <w:color w:val="808080"/>
          <w:bdr w:val="nil"/>
          <w:lang w:val="sv-SE" w:eastAsia="fi-FI"/>
        </w:rPr>
        <w:t>M</w:t>
      </w:r>
    </w:p>
    <w:p w14:paraId="733C90DD" w14:textId="77777777" w:rsidR="009775A3" w:rsidRPr="00BD63E8" w:rsidRDefault="009775A3" w:rsidP="009775A3">
      <w:pPr>
        <w:spacing w:after="0" w:line="240" w:lineRule="auto"/>
        <w:rPr>
          <w:rFonts w:eastAsia="Times New Roman" w:cs="Arial"/>
          <w:b/>
          <w:lang w:val="sv-SE" w:eastAsia="fi-FI"/>
        </w:rPr>
      </w:pPr>
    </w:p>
    <w:p w14:paraId="758E6D23" w14:textId="77777777" w:rsidR="009775A3" w:rsidRPr="00BD63E8" w:rsidRDefault="009775A3" w:rsidP="009775A3">
      <w:pPr>
        <w:spacing w:after="0" w:line="240" w:lineRule="auto"/>
        <w:rPr>
          <w:rFonts w:eastAsia="Times New Roman" w:cs="Arial"/>
          <w:b/>
          <w:color w:val="808080" w:themeColor="background1" w:themeShade="80"/>
          <w:lang w:val="sv-SE" w:eastAsia="fi-FI"/>
        </w:rPr>
      </w:pPr>
      <w:r w:rsidRPr="00BD63E8">
        <w:rPr>
          <w:rFonts w:eastAsia="Arial" w:cs="Arial"/>
          <w:b/>
          <w:bCs/>
          <w:bdr w:val="nil"/>
          <w:lang w:val="sv-SE" w:eastAsia="fi-FI"/>
        </w:rPr>
        <w:t xml:space="preserve">Att observera: </w:t>
      </w:r>
      <w:r w:rsidRPr="00BD63E8">
        <w:rPr>
          <w:rFonts w:eastAsia="Arial" w:cs="Arial"/>
          <w:b/>
          <w:bCs/>
          <w:color w:val="808080"/>
          <w:bdr w:val="nil"/>
          <w:lang w:val="sv-SE" w:eastAsia="fi-FI"/>
        </w:rPr>
        <w:t>Plaskdammen finns i samma vattenbehandlingsgrupp som undervisningsbassängen</w:t>
      </w:r>
    </w:p>
    <w:p w14:paraId="73FDC57B" w14:textId="77777777" w:rsidR="009775A3" w:rsidRPr="00BD63E8" w:rsidRDefault="009775A3" w:rsidP="009775A3">
      <w:pPr>
        <w:spacing w:after="0" w:line="240" w:lineRule="auto"/>
        <w:rPr>
          <w:rFonts w:eastAsia="Times New Roman" w:cs="Arial"/>
          <w:b/>
          <w:color w:val="A6A6A6" w:themeColor="background1" w:themeShade="A6"/>
          <w:u w:val="single"/>
          <w:lang w:val="sv-SE" w:eastAsia="fi-FI"/>
        </w:rPr>
      </w:pPr>
    </w:p>
    <w:p w14:paraId="698E03EE" w14:textId="77777777" w:rsidR="009775A3" w:rsidRPr="00BD63E8" w:rsidRDefault="009775A3" w:rsidP="009775A3">
      <w:pPr>
        <w:spacing w:after="0" w:line="240" w:lineRule="auto"/>
        <w:rPr>
          <w:rFonts w:eastAsia="Times New Roman" w:cs="Arial"/>
          <w:b/>
          <w:u w:val="single"/>
          <w:lang w:val="sv-SE" w:eastAsia="fi-FI"/>
        </w:rPr>
      </w:pPr>
      <w:r w:rsidRPr="00BD63E8">
        <w:rPr>
          <w:rFonts w:eastAsia="Arial" w:cs="Arial"/>
          <w:b/>
          <w:bCs/>
          <w:bdr w:val="nil"/>
          <w:lang w:val="sv-SE" w:eastAsia="fi-FI"/>
        </w:rPr>
        <w:t>Alternativ 1</w:t>
      </w:r>
    </w:p>
    <w:p w14:paraId="0839B23B" w14:textId="77777777" w:rsidR="009775A3" w:rsidRPr="00BD63E8" w:rsidRDefault="009775A3" w:rsidP="009775A3">
      <w:pPr>
        <w:spacing w:after="0" w:line="240" w:lineRule="auto"/>
        <w:rPr>
          <w:rFonts w:eastAsia="Times New Roman" w:cs="Arial"/>
          <w:b/>
          <w:lang w:val="sv-SE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4111"/>
        <w:gridCol w:w="1410"/>
      </w:tblGrid>
      <w:tr w:rsidR="009775A3" w:rsidRPr="00BD63E8" w14:paraId="6E4F57A9" w14:textId="77777777" w:rsidTr="003C6D3A">
        <w:trPr>
          <w:trHeight w:val="397"/>
        </w:trPr>
        <w:tc>
          <w:tcPr>
            <w:tcW w:w="1242" w:type="dxa"/>
            <w:shd w:val="clear" w:color="auto" w:fill="EDEDED" w:themeFill="accent3" w:themeFillTint="33"/>
            <w:vAlign w:val="center"/>
          </w:tcPr>
          <w:p w14:paraId="28774313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b/>
                <w:bCs/>
                <w:sz w:val="19"/>
                <w:szCs w:val="19"/>
                <w:bdr w:val="nil"/>
                <w:lang w:val="sv-SE" w:eastAsia="fi-FI"/>
              </w:rPr>
              <w:t>Störningssituation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0254E7E1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b/>
                <w:bCs/>
                <w:sz w:val="19"/>
                <w:szCs w:val="19"/>
                <w:bdr w:val="nil"/>
                <w:lang w:val="sv-SE" w:eastAsia="fi-FI"/>
              </w:rPr>
              <w:t>Anmärkningar</w:t>
            </w:r>
          </w:p>
        </w:tc>
        <w:tc>
          <w:tcPr>
            <w:tcW w:w="4111" w:type="dxa"/>
            <w:shd w:val="clear" w:color="auto" w:fill="EDEDED" w:themeFill="accent3" w:themeFillTint="33"/>
            <w:vAlign w:val="center"/>
          </w:tcPr>
          <w:p w14:paraId="0E504A27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b/>
                <w:bCs/>
                <w:sz w:val="19"/>
                <w:szCs w:val="19"/>
                <w:bdr w:val="nil"/>
                <w:lang w:val="sv-SE" w:eastAsia="fi-FI"/>
              </w:rPr>
              <w:t>Åtgärder</w:t>
            </w:r>
          </w:p>
        </w:tc>
        <w:tc>
          <w:tcPr>
            <w:tcW w:w="1410" w:type="dxa"/>
            <w:shd w:val="clear" w:color="auto" w:fill="EDEDED" w:themeFill="accent3" w:themeFillTint="33"/>
            <w:vAlign w:val="center"/>
          </w:tcPr>
          <w:p w14:paraId="3939827A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b/>
                <w:bCs/>
                <w:sz w:val="19"/>
                <w:szCs w:val="19"/>
                <w:bdr w:val="nil"/>
                <w:lang w:val="sv-SE" w:eastAsia="fi-FI"/>
              </w:rPr>
              <w:t>Kontaktuppgifter</w:t>
            </w:r>
          </w:p>
        </w:tc>
      </w:tr>
      <w:tr w:rsidR="009775A3" w:rsidRPr="00BD63E8" w14:paraId="71B516D9" w14:textId="77777777" w:rsidTr="003C6D3A">
        <w:tc>
          <w:tcPr>
            <w:tcW w:w="1242" w:type="dxa"/>
          </w:tcPr>
          <w:p w14:paraId="74E2EA53" w14:textId="77777777" w:rsidR="009775A3" w:rsidRPr="00BD63E8" w:rsidRDefault="009775A3" w:rsidP="003C6D3A">
            <w:pPr>
              <w:spacing w:before="120" w:after="0" w:line="240" w:lineRule="auto"/>
              <w:rPr>
                <w:rFonts w:eastAsia="Times New Roman" w:cs="Arial"/>
                <w:b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b/>
                <w:bCs/>
                <w:color w:val="808080"/>
                <w:sz w:val="19"/>
                <w:szCs w:val="19"/>
                <w:bdr w:val="nil"/>
                <w:lang w:val="sv-SE" w:eastAsia="fi-FI"/>
              </w:rPr>
              <w:t>Mjuk avföring i plaskdammen</w:t>
            </w:r>
          </w:p>
          <w:p w14:paraId="40445CC7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b/>
                <w:color w:val="808080" w:themeColor="background1" w:themeShade="80"/>
                <w:sz w:val="19"/>
                <w:szCs w:val="19"/>
                <w:lang w:val="sv-SE" w:eastAsia="fi-FI"/>
              </w:rPr>
            </w:pPr>
          </w:p>
          <w:p w14:paraId="19A8040E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b/>
                <w:color w:val="808080" w:themeColor="background1" w:themeShade="80"/>
                <w:sz w:val="19"/>
                <w:szCs w:val="19"/>
                <w:lang w:val="sv-SE" w:eastAsia="fi-FI"/>
              </w:rPr>
            </w:pPr>
          </w:p>
        </w:tc>
        <w:tc>
          <w:tcPr>
            <w:tcW w:w="2410" w:type="dxa"/>
          </w:tcPr>
          <w:p w14:paraId="5DB044AE" w14:textId="77777777" w:rsidR="009775A3" w:rsidRPr="00BD63E8" w:rsidRDefault="009775A3" w:rsidP="003C6D3A">
            <w:pPr>
              <w:spacing w:before="120" w:after="12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Bassäng har en vattenvolym på ca 6 m</w:t>
            </w: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vertAlign w:val="superscript"/>
                <w:lang w:val="sv-SE" w:eastAsia="fi-FI"/>
              </w:rPr>
              <w:t>3</w:t>
            </w:r>
          </w:p>
          <w:p w14:paraId="4E47BEDF" w14:textId="77777777" w:rsidR="009775A3" w:rsidRPr="00BD63E8" w:rsidRDefault="009775A3" w:rsidP="003C6D3A">
            <w:pPr>
              <w:spacing w:after="12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I detta exempel kunde bassängen kopplas ur omloppet mycket snart efter att missödet inträffat.</w:t>
            </w:r>
          </w:p>
          <w:p w14:paraId="31724DED" w14:textId="77777777" w:rsidR="009775A3" w:rsidRPr="00BD63E8" w:rsidRDefault="009775A3" w:rsidP="003C6D3A">
            <w:pPr>
              <w:spacing w:after="12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Om ett missöde inte upptäcks genast och vattnet hinner cirkulera i t.ex. 15 min. ska klornivån för undervisningsbassängen i samma cirkulationskrets även höjas på samma sätt som för plaskdammen.</w:t>
            </w:r>
          </w:p>
        </w:tc>
        <w:tc>
          <w:tcPr>
            <w:tcW w:w="4111" w:type="dxa"/>
            <w:shd w:val="clear" w:color="auto" w:fill="auto"/>
          </w:tcPr>
          <w:p w14:paraId="09243992" w14:textId="77777777" w:rsidR="009775A3" w:rsidRPr="00BD63E8" w:rsidRDefault="009775A3" w:rsidP="009775A3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Badarna avlägsnas ur bassängen</w:t>
            </w:r>
          </w:p>
          <w:p w14:paraId="4DC1398E" w14:textId="77777777" w:rsidR="009775A3" w:rsidRPr="00BD63E8" w:rsidRDefault="009775A3" w:rsidP="009775A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Returvattenventilen till bassängen stängs och kemikaliedoseringarna stängs av</w:t>
            </w:r>
          </w:p>
          <w:p w14:paraId="08C9DA2D" w14:textId="77777777" w:rsidR="009775A3" w:rsidRPr="00BD63E8" w:rsidRDefault="009775A3" w:rsidP="009775A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Bassäng töms och tvättas</w:t>
            </w:r>
          </w:p>
          <w:p w14:paraId="42C39ECE" w14:textId="77777777" w:rsidR="009775A3" w:rsidRPr="00BD63E8" w:rsidRDefault="009775A3" w:rsidP="009775A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Bassäng fylls genom att öppna returvattenventilen</w:t>
            </w:r>
          </w:p>
          <w:p w14:paraId="65B00FFD" w14:textId="77777777" w:rsidR="009775A3" w:rsidRPr="00BD63E8" w:rsidRDefault="009775A3" w:rsidP="009775A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Kemikaliedoseringen kopplas på igen</w:t>
            </w:r>
          </w:p>
          <w:p w14:paraId="2E623DDE" w14:textId="77777777" w:rsidR="009775A3" w:rsidRPr="00BD63E8" w:rsidRDefault="009775A3" w:rsidP="009775A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Börvärdet för klorkemikalier höjs 1,2 mg/l</w:t>
            </w:r>
          </w:p>
          <w:p w14:paraId="09EC4924" w14:textId="77777777" w:rsidR="009775A3" w:rsidRPr="00BD63E8" w:rsidRDefault="009775A3" w:rsidP="009775A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Man väntar ca en timme medan vattnet cirkulerar ca två gånger genom reningssystemet</w:t>
            </w:r>
          </w:p>
          <w:p w14:paraId="48BE953D" w14:textId="77777777" w:rsidR="009775A3" w:rsidRPr="00BD63E8" w:rsidRDefault="009775A3" w:rsidP="009775A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Times New Roman" w:cs="Arial"/>
                <w:color w:val="808080"/>
                <w:sz w:val="19"/>
                <w:szCs w:val="19"/>
                <w:bdr w:val="nil"/>
                <w:lang w:val="sv-SE" w:eastAsia="fi-FI"/>
              </w:rPr>
              <w:t>Börvärdet för klorkemikalier sänks till normal nivå, ca 0,7 mg/l</w:t>
            </w:r>
          </w:p>
          <w:p w14:paraId="5270109D" w14:textId="77777777" w:rsidR="009775A3" w:rsidRPr="00BD63E8" w:rsidRDefault="009775A3" w:rsidP="009775A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Filtren spolas</w:t>
            </w:r>
          </w:p>
          <w:p w14:paraId="303A2D81" w14:textId="77777777" w:rsidR="009775A3" w:rsidRPr="00BD63E8" w:rsidRDefault="009775A3" w:rsidP="009775A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Kemikalievärdena kontrolleras och bassängen öppnas för allmänheten.</w:t>
            </w:r>
          </w:p>
        </w:tc>
        <w:tc>
          <w:tcPr>
            <w:tcW w:w="1410" w:type="dxa"/>
          </w:tcPr>
          <w:p w14:paraId="42F078DE" w14:textId="77777777" w:rsidR="009775A3" w:rsidRPr="00BD63E8" w:rsidRDefault="009775A3" w:rsidP="003C6D3A">
            <w:pPr>
              <w:spacing w:before="120"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Underhåll</w:t>
            </w:r>
          </w:p>
          <w:p w14:paraId="1E59AFAC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  <w:t>040-1234</w:t>
            </w:r>
            <w:r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  <w:t>56</w:t>
            </w:r>
          </w:p>
        </w:tc>
      </w:tr>
    </w:tbl>
    <w:p w14:paraId="4B3A79F8" w14:textId="77777777" w:rsidR="009775A3" w:rsidRPr="00BD63E8" w:rsidRDefault="009775A3" w:rsidP="009775A3">
      <w:pPr>
        <w:spacing w:after="0" w:line="240" w:lineRule="auto"/>
        <w:rPr>
          <w:rFonts w:eastAsia="Times New Roman" w:cs="Arial"/>
          <w:b/>
          <w:sz w:val="19"/>
          <w:szCs w:val="19"/>
          <w:lang w:val="sv-SE" w:eastAsia="fi-FI"/>
        </w:rPr>
      </w:pPr>
    </w:p>
    <w:p w14:paraId="1D65F1BE" w14:textId="77777777" w:rsidR="009775A3" w:rsidRPr="00BD63E8" w:rsidRDefault="009775A3" w:rsidP="009775A3">
      <w:pPr>
        <w:spacing w:after="0" w:line="240" w:lineRule="auto"/>
        <w:rPr>
          <w:rFonts w:eastAsia="Times New Roman" w:cs="Arial"/>
          <w:b/>
          <w:sz w:val="19"/>
          <w:szCs w:val="19"/>
          <w:u w:val="single"/>
          <w:lang w:val="sv-SE" w:eastAsia="fi-FI"/>
        </w:rPr>
      </w:pPr>
      <w:r w:rsidRPr="00BD63E8">
        <w:rPr>
          <w:rFonts w:eastAsia="Arial" w:cs="Arial"/>
          <w:b/>
          <w:bCs/>
          <w:sz w:val="19"/>
          <w:szCs w:val="19"/>
          <w:bdr w:val="nil"/>
          <w:lang w:val="sv-SE" w:eastAsia="fi-FI"/>
        </w:rPr>
        <w:t>Alternativ 2</w:t>
      </w:r>
    </w:p>
    <w:p w14:paraId="6AF7C6E9" w14:textId="77777777" w:rsidR="009775A3" w:rsidRPr="00BD63E8" w:rsidRDefault="009775A3" w:rsidP="009775A3">
      <w:pPr>
        <w:spacing w:after="0" w:line="240" w:lineRule="auto"/>
        <w:rPr>
          <w:rFonts w:eastAsia="Times New Roman" w:cs="Arial"/>
          <w:b/>
          <w:sz w:val="19"/>
          <w:szCs w:val="19"/>
          <w:lang w:val="sv-SE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4111"/>
        <w:gridCol w:w="1410"/>
      </w:tblGrid>
      <w:tr w:rsidR="009775A3" w:rsidRPr="00BD63E8" w14:paraId="08B9C8F7" w14:textId="77777777" w:rsidTr="003C6D3A">
        <w:trPr>
          <w:trHeight w:val="397"/>
        </w:trPr>
        <w:tc>
          <w:tcPr>
            <w:tcW w:w="1242" w:type="dxa"/>
            <w:shd w:val="clear" w:color="auto" w:fill="EDEDED" w:themeFill="accent3" w:themeFillTint="33"/>
            <w:vAlign w:val="center"/>
          </w:tcPr>
          <w:p w14:paraId="3E96BE06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b/>
                <w:bCs/>
                <w:sz w:val="19"/>
                <w:szCs w:val="19"/>
                <w:bdr w:val="nil"/>
                <w:lang w:val="sv-SE" w:eastAsia="fi-FI"/>
              </w:rPr>
              <w:t>Störningssituation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3804BCE1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b/>
                <w:bCs/>
                <w:sz w:val="19"/>
                <w:szCs w:val="19"/>
                <w:bdr w:val="nil"/>
                <w:lang w:val="sv-SE" w:eastAsia="fi-FI"/>
              </w:rPr>
              <w:t>Anmärkningar</w:t>
            </w:r>
          </w:p>
        </w:tc>
        <w:tc>
          <w:tcPr>
            <w:tcW w:w="4111" w:type="dxa"/>
            <w:shd w:val="clear" w:color="auto" w:fill="EDEDED" w:themeFill="accent3" w:themeFillTint="33"/>
            <w:vAlign w:val="center"/>
          </w:tcPr>
          <w:p w14:paraId="28CECF45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b/>
                <w:bCs/>
                <w:sz w:val="19"/>
                <w:szCs w:val="19"/>
                <w:bdr w:val="nil"/>
                <w:lang w:val="sv-SE" w:eastAsia="fi-FI"/>
              </w:rPr>
              <w:t>Åtgärder</w:t>
            </w:r>
          </w:p>
        </w:tc>
        <w:tc>
          <w:tcPr>
            <w:tcW w:w="1410" w:type="dxa"/>
            <w:shd w:val="clear" w:color="auto" w:fill="EDEDED" w:themeFill="accent3" w:themeFillTint="33"/>
            <w:vAlign w:val="center"/>
          </w:tcPr>
          <w:p w14:paraId="20F24124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b/>
                <w:bCs/>
                <w:sz w:val="19"/>
                <w:szCs w:val="19"/>
                <w:bdr w:val="nil"/>
                <w:lang w:val="sv-SE" w:eastAsia="fi-FI"/>
              </w:rPr>
              <w:t>Kontaktuppgifter</w:t>
            </w:r>
          </w:p>
        </w:tc>
      </w:tr>
      <w:tr w:rsidR="009775A3" w:rsidRPr="00BD63E8" w14:paraId="39DCDC74" w14:textId="77777777" w:rsidTr="003C6D3A">
        <w:tc>
          <w:tcPr>
            <w:tcW w:w="1242" w:type="dxa"/>
          </w:tcPr>
          <w:p w14:paraId="5A5F58C3" w14:textId="77777777" w:rsidR="009775A3" w:rsidRPr="00BD63E8" w:rsidRDefault="009775A3" w:rsidP="003C6D3A">
            <w:pPr>
              <w:spacing w:before="120" w:after="0" w:line="240" w:lineRule="auto"/>
              <w:rPr>
                <w:rFonts w:eastAsia="Times New Roman" w:cs="Arial"/>
                <w:b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b/>
                <w:bCs/>
                <w:color w:val="808080"/>
                <w:sz w:val="19"/>
                <w:szCs w:val="19"/>
                <w:bdr w:val="nil"/>
                <w:lang w:val="sv-SE" w:eastAsia="fi-FI"/>
              </w:rPr>
              <w:t>Fast avföring i plaskdammen</w:t>
            </w:r>
          </w:p>
          <w:p w14:paraId="16DD110D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b/>
                <w:color w:val="808080" w:themeColor="background1" w:themeShade="80"/>
                <w:sz w:val="19"/>
                <w:szCs w:val="19"/>
                <w:lang w:val="sv-SE" w:eastAsia="fi-FI"/>
              </w:rPr>
            </w:pPr>
          </w:p>
          <w:p w14:paraId="39E3DBE4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b/>
                <w:color w:val="808080" w:themeColor="background1" w:themeShade="80"/>
                <w:sz w:val="19"/>
                <w:szCs w:val="19"/>
                <w:lang w:val="sv-SE" w:eastAsia="fi-FI"/>
              </w:rPr>
            </w:pPr>
          </w:p>
        </w:tc>
        <w:tc>
          <w:tcPr>
            <w:tcW w:w="2410" w:type="dxa"/>
          </w:tcPr>
          <w:p w14:paraId="75778E32" w14:textId="77777777" w:rsidR="009775A3" w:rsidRPr="00BD63E8" w:rsidRDefault="009775A3" w:rsidP="003C6D3A">
            <w:pPr>
              <w:spacing w:before="120" w:after="12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Bassäng har en vattenvolym på ca 6 m</w:t>
            </w: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vertAlign w:val="superscript"/>
                <w:lang w:val="sv-SE" w:eastAsia="fi-FI"/>
              </w:rPr>
              <w:t>3</w:t>
            </w:r>
          </w:p>
          <w:p w14:paraId="0697023D" w14:textId="77777777" w:rsidR="009775A3" w:rsidRPr="00BD63E8" w:rsidRDefault="009775A3" w:rsidP="003C6D3A">
            <w:pPr>
              <w:spacing w:after="12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I detta exempel kunde bassängen kopplas ur omloppet mycket snart efter missödet.</w:t>
            </w:r>
          </w:p>
          <w:p w14:paraId="6A3D8B31" w14:textId="77777777" w:rsidR="009775A3" w:rsidRPr="00BD63E8" w:rsidRDefault="009775A3" w:rsidP="003C6D3A">
            <w:pPr>
              <w:spacing w:after="12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Om ett missöde inte upptäcks genast och vattnet hinner cirkulera i t.ex. 15 min. ska klornivån för undervisningsbassängen i samma cirkulationskrets även höjas på samma sätt som för plaskdammen.</w:t>
            </w:r>
          </w:p>
        </w:tc>
        <w:tc>
          <w:tcPr>
            <w:tcW w:w="4111" w:type="dxa"/>
            <w:shd w:val="clear" w:color="auto" w:fill="auto"/>
          </w:tcPr>
          <w:p w14:paraId="5611B702" w14:textId="77777777" w:rsidR="009775A3" w:rsidRPr="00BD63E8" w:rsidRDefault="009775A3" w:rsidP="009775A3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Badarna avlägsnas ur bassängen</w:t>
            </w:r>
          </w:p>
          <w:p w14:paraId="00A6AA43" w14:textId="77777777" w:rsidR="009775A3" w:rsidRPr="00BD63E8" w:rsidRDefault="009775A3" w:rsidP="009775A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Returvattenventilen till bassängen stängs och kemikaliedoseringarna stängs av</w:t>
            </w:r>
          </w:p>
          <w:p w14:paraId="14DE7A59" w14:textId="77777777" w:rsidR="009775A3" w:rsidRPr="00BD63E8" w:rsidRDefault="009775A3" w:rsidP="009775A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 xml:space="preserve">Den fasta avföringen avlägsnas ur bassängen </w:t>
            </w:r>
          </w:p>
          <w:p w14:paraId="3608700A" w14:textId="77777777" w:rsidR="009775A3" w:rsidRPr="00BD63E8" w:rsidRDefault="009775A3" w:rsidP="009775A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Returvattenventilen öppnas, varvid cirkulationen startar</w:t>
            </w:r>
          </w:p>
          <w:p w14:paraId="7CBF0E74" w14:textId="77777777" w:rsidR="009775A3" w:rsidRPr="00BD63E8" w:rsidRDefault="009775A3" w:rsidP="009775A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Börvärdet för klorkemikalier höjs 1,2 mg/l</w:t>
            </w:r>
          </w:p>
          <w:p w14:paraId="489A5FFE" w14:textId="77777777" w:rsidR="009775A3" w:rsidRPr="00BD63E8" w:rsidRDefault="009775A3" w:rsidP="009775A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Man väntar ca en timme medan vattnet cirkulerar ca två gånger genom reningssystemet</w:t>
            </w:r>
          </w:p>
          <w:p w14:paraId="656163D2" w14:textId="77777777" w:rsidR="009775A3" w:rsidRPr="00BD63E8" w:rsidRDefault="009775A3" w:rsidP="009775A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Times New Roman" w:cs="Arial"/>
                <w:color w:val="808080"/>
                <w:sz w:val="19"/>
                <w:szCs w:val="19"/>
                <w:bdr w:val="nil"/>
                <w:lang w:val="sv-SE" w:eastAsia="fi-FI"/>
              </w:rPr>
              <w:t>Börvärdet för klorkemikalier sänks till normal nivå, ca 0,7 mg/l</w:t>
            </w:r>
          </w:p>
          <w:p w14:paraId="643F533E" w14:textId="77777777" w:rsidR="009775A3" w:rsidRPr="00BD63E8" w:rsidRDefault="009775A3" w:rsidP="009775A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Filtren spolas</w:t>
            </w:r>
          </w:p>
          <w:p w14:paraId="6C695733" w14:textId="77777777" w:rsidR="009775A3" w:rsidRPr="00BD63E8" w:rsidRDefault="009775A3" w:rsidP="009775A3">
            <w:pPr>
              <w:numPr>
                <w:ilvl w:val="0"/>
                <w:numId w:val="2"/>
              </w:numPr>
              <w:spacing w:after="120" w:line="240" w:lineRule="auto"/>
              <w:ind w:left="714" w:hanging="357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Kemikalievärdena kontrolleras och bassängen öppnas för allmänheten.</w:t>
            </w:r>
          </w:p>
        </w:tc>
        <w:tc>
          <w:tcPr>
            <w:tcW w:w="1410" w:type="dxa"/>
          </w:tcPr>
          <w:p w14:paraId="20432C07" w14:textId="77777777" w:rsidR="009775A3" w:rsidRPr="00BD63E8" w:rsidRDefault="009775A3" w:rsidP="003C6D3A">
            <w:pPr>
              <w:spacing w:before="120"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Arial" w:cs="Arial"/>
                <w:color w:val="808080"/>
                <w:sz w:val="19"/>
                <w:szCs w:val="19"/>
                <w:bdr w:val="nil"/>
                <w:lang w:val="sv-SE" w:eastAsia="fi-FI"/>
              </w:rPr>
              <w:t>Underhåll</w:t>
            </w:r>
          </w:p>
          <w:p w14:paraId="4BFCBC9E" w14:textId="77777777" w:rsidR="009775A3" w:rsidRPr="00BD63E8" w:rsidRDefault="009775A3" w:rsidP="003C6D3A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</w:pPr>
            <w:r w:rsidRPr="00BD63E8">
              <w:rPr>
                <w:rFonts w:eastAsia="Times New Roman" w:cs="Arial"/>
                <w:color w:val="808080" w:themeColor="background1" w:themeShade="80"/>
                <w:sz w:val="19"/>
                <w:szCs w:val="19"/>
                <w:lang w:val="sv-SE" w:eastAsia="fi-FI"/>
              </w:rPr>
              <w:t>040-123456</w:t>
            </w:r>
          </w:p>
        </w:tc>
      </w:tr>
    </w:tbl>
    <w:p w14:paraId="69022CEC" w14:textId="77777777" w:rsidR="006A6C13" w:rsidRDefault="006A6C13"/>
    <w:sectPr w:rsidR="006A6C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716"/>
    <w:multiLevelType w:val="hybridMultilevel"/>
    <w:tmpl w:val="ABDED2FA"/>
    <w:lvl w:ilvl="0" w:tplc="F80472C0">
      <w:start w:val="1"/>
      <w:numFmt w:val="decimal"/>
      <w:lvlText w:val="%1."/>
      <w:lvlJc w:val="left"/>
      <w:pPr>
        <w:ind w:left="720" w:hanging="360"/>
      </w:pPr>
    </w:lvl>
    <w:lvl w:ilvl="1" w:tplc="B120A3F8" w:tentative="1">
      <w:start w:val="1"/>
      <w:numFmt w:val="lowerLetter"/>
      <w:lvlText w:val="%2."/>
      <w:lvlJc w:val="left"/>
      <w:pPr>
        <w:ind w:left="1440" w:hanging="360"/>
      </w:pPr>
    </w:lvl>
    <w:lvl w:ilvl="2" w:tplc="08C484D4" w:tentative="1">
      <w:start w:val="1"/>
      <w:numFmt w:val="lowerRoman"/>
      <w:lvlText w:val="%3."/>
      <w:lvlJc w:val="right"/>
      <w:pPr>
        <w:ind w:left="2160" w:hanging="180"/>
      </w:pPr>
    </w:lvl>
    <w:lvl w:ilvl="3" w:tplc="47502DC0" w:tentative="1">
      <w:start w:val="1"/>
      <w:numFmt w:val="decimal"/>
      <w:lvlText w:val="%4."/>
      <w:lvlJc w:val="left"/>
      <w:pPr>
        <w:ind w:left="2880" w:hanging="360"/>
      </w:pPr>
    </w:lvl>
    <w:lvl w:ilvl="4" w:tplc="A3F67DEC" w:tentative="1">
      <w:start w:val="1"/>
      <w:numFmt w:val="lowerLetter"/>
      <w:lvlText w:val="%5."/>
      <w:lvlJc w:val="left"/>
      <w:pPr>
        <w:ind w:left="3600" w:hanging="360"/>
      </w:pPr>
    </w:lvl>
    <w:lvl w:ilvl="5" w:tplc="4B9ADA6C" w:tentative="1">
      <w:start w:val="1"/>
      <w:numFmt w:val="lowerRoman"/>
      <w:lvlText w:val="%6."/>
      <w:lvlJc w:val="right"/>
      <w:pPr>
        <w:ind w:left="4320" w:hanging="180"/>
      </w:pPr>
    </w:lvl>
    <w:lvl w:ilvl="6" w:tplc="E7B0DE18" w:tentative="1">
      <w:start w:val="1"/>
      <w:numFmt w:val="decimal"/>
      <w:lvlText w:val="%7."/>
      <w:lvlJc w:val="left"/>
      <w:pPr>
        <w:ind w:left="5040" w:hanging="360"/>
      </w:pPr>
    </w:lvl>
    <w:lvl w:ilvl="7" w:tplc="CDA6F1F4" w:tentative="1">
      <w:start w:val="1"/>
      <w:numFmt w:val="lowerLetter"/>
      <w:lvlText w:val="%8."/>
      <w:lvlJc w:val="left"/>
      <w:pPr>
        <w:ind w:left="5760" w:hanging="360"/>
      </w:pPr>
    </w:lvl>
    <w:lvl w:ilvl="8" w:tplc="B9BAC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6F83"/>
    <w:multiLevelType w:val="hybridMultilevel"/>
    <w:tmpl w:val="ABDED2FA"/>
    <w:lvl w:ilvl="0" w:tplc="A07C217A">
      <w:start w:val="1"/>
      <w:numFmt w:val="decimal"/>
      <w:lvlText w:val="%1."/>
      <w:lvlJc w:val="left"/>
      <w:pPr>
        <w:ind w:left="720" w:hanging="360"/>
      </w:pPr>
    </w:lvl>
    <w:lvl w:ilvl="1" w:tplc="BED81920" w:tentative="1">
      <w:start w:val="1"/>
      <w:numFmt w:val="lowerLetter"/>
      <w:lvlText w:val="%2."/>
      <w:lvlJc w:val="left"/>
      <w:pPr>
        <w:ind w:left="1440" w:hanging="360"/>
      </w:pPr>
    </w:lvl>
    <w:lvl w:ilvl="2" w:tplc="4A9CBF8A" w:tentative="1">
      <w:start w:val="1"/>
      <w:numFmt w:val="lowerRoman"/>
      <w:lvlText w:val="%3."/>
      <w:lvlJc w:val="right"/>
      <w:pPr>
        <w:ind w:left="2160" w:hanging="180"/>
      </w:pPr>
    </w:lvl>
    <w:lvl w:ilvl="3" w:tplc="C8922004" w:tentative="1">
      <w:start w:val="1"/>
      <w:numFmt w:val="decimal"/>
      <w:lvlText w:val="%4."/>
      <w:lvlJc w:val="left"/>
      <w:pPr>
        <w:ind w:left="2880" w:hanging="360"/>
      </w:pPr>
    </w:lvl>
    <w:lvl w:ilvl="4" w:tplc="88F4812C" w:tentative="1">
      <w:start w:val="1"/>
      <w:numFmt w:val="lowerLetter"/>
      <w:lvlText w:val="%5."/>
      <w:lvlJc w:val="left"/>
      <w:pPr>
        <w:ind w:left="3600" w:hanging="360"/>
      </w:pPr>
    </w:lvl>
    <w:lvl w:ilvl="5" w:tplc="FB745D16" w:tentative="1">
      <w:start w:val="1"/>
      <w:numFmt w:val="lowerRoman"/>
      <w:lvlText w:val="%6."/>
      <w:lvlJc w:val="right"/>
      <w:pPr>
        <w:ind w:left="4320" w:hanging="180"/>
      </w:pPr>
    </w:lvl>
    <w:lvl w:ilvl="6" w:tplc="A57AB1BC" w:tentative="1">
      <w:start w:val="1"/>
      <w:numFmt w:val="decimal"/>
      <w:lvlText w:val="%7."/>
      <w:lvlJc w:val="left"/>
      <w:pPr>
        <w:ind w:left="5040" w:hanging="360"/>
      </w:pPr>
    </w:lvl>
    <w:lvl w:ilvl="7" w:tplc="025A7646" w:tentative="1">
      <w:start w:val="1"/>
      <w:numFmt w:val="lowerLetter"/>
      <w:lvlText w:val="%8."/>
      <w:lvlJc w:val="left"/>
      <w:pPr>
        <w:ind w:left="5760" w:hanging="360"/>
      </w:pPr>
    </w:lvl>
    <w:lvl w:ilvl="8" w:tplc="BA4A4D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4297">
    <w:abstractNumId w:val="0"/>
  </w:num>
  <w:num w:numId="2" w16cid:durableId="181087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A3"/>
    <w:rsid w:val="00067FA3"/>
    <w:rsid w:val="006A6C13"/>
    <w:rsid w:val="009775A3"/>
    <w:rsid w:val="00C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8CBC"/>
  <w15:chartTrackingRefBased/>
  <w15:docId w15:val="{F1D90856-75CE-47B4-9850-100CA8F1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75A3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qFormat/>
    <w:rsid w:val="009775A3"/>
    <w:pPr>
      <w:spacing w:before="240" w:after="120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OtsikkoChar">
    <w:name w:val="Otsikko Char"/>
    <w:basedOn w:val="Kappaleenoletusfontti"/>
    <w:link w:val="Otsikko"/>
    <w:rsid w:val="009775A3"/>
    <w:rPr>
      <w:rFonts w:ascii="Arial" w:eastAsia="Calibri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Ilpo Johansson</dc:creator>
  <cp:keywords/>
  <dc:description/>
  <cp:lastModifiedBy>Kristiina Heinonen</cp:lastModifiedBy>
  <cp:revision>2</cp:revision>
  <dcterms:created xsi:type="dcterms:W3CDTF">2023-06-19T13:33:00Z</dcterms:created>
  <dcterms:modified xsi:type="dcterms:W3CDTF">2023-06-19T13:33:00Z</dcterms:modified>
</cp:coreProperties>
</file>